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66C0" w14:textId="6420C7DF" w:rsidR="009471D6" w:rsidRDefault="009471D6" w:rsidP="00905B2A">
      <w:pPr>
        <w:jc w:val="center"/>
        <w:rPr>
          <w:rFonts w:ascii="Copperplate Gothic Bold" w:hAnsi="Copperplate Gothic Bold"/>
          <w:sz w:val="28"/>
          <w:szCs w:val="28"/>
        </w:rPr>
      </w:pPr>
    </w:p>
    <w:p w14:paraId="46A70839" w14:textId="67AA35F0" w:rsidR="009471D6" w:rsidRDefault="009471D6" w:rsidP="00905B2A">
      <w:pPr>
        <w:jc w:val="center"/>
        <w:rPr>
          <w:rFonts w:ascii="Copperplate Gothic Bold" w:hAnsi="Copperplate Gothic Bold"/>
          <w:sz w:val="28"/>
          <w:szCs w:val="28"/>
        </w:rPr>
      </w:pPr>
    </w:p>
    <w:p w14:paraId="66747585" w14:textId="25E8EB45" w:rsidR="00905B2A" w:rsidRPr="00F97809" w:rsidRDefault="00415130" w:rsidP="00905B2A">
      <w:pPr>
        <w:jc w:val="center"/>
        <w:rPr>
          <w:rFonts w:cstheme="minorHAnsi"/>
          <w:b/>
          <w:bCs/>
          <w:sz w:val="28"/>
          <w:szCs w:val="28"/>
        </w:rPr>
      </w:pPr>
      <w:r w:rsidRPr="00F97809">
        <w:rPr>
          <w:rFonts w:cstheme="minorHAnsi"/>
          <w:b/>
          <w:bCs/>
          <w:sz w:val="28"/>
          <w:szCs w:val="28"/>
        </w:rPr>
        <w:t>20</w:t>
      </w:r>
      <w:r w:rsidR="00CC6B66" w:rsidRPr="00F97809">
        <w:rPr>
          <w:rFonts w:cstheme="minorHAnsi"/>
          <w:b/>
          <w:bCs/>
          <w:sz w:val="28"/>
          <w:szCs w:val="28"/>
        </w:rPr>
        <w:t>2</w:t>
      </w:r>
      <w:r w:rsidR="00191E2F">
        <w:rPr>
          <w:rFonts w:cstheme="minorHAnsi"/>
          <w:b/>
          <w:bCs/>
          <w:sz w:val="28"/>
          <w:szCs w:val="28"/>
        </w:rPr>
        <w:t>3</w:t>
      </w:r>
      <w:r w:rsidRPr="00F97809">
        <w:rPr>
          <w:rFonts w:cstheme="minorHAnsi"/>
          <w:b/>
          <w:bCs/>
          <w:sz w:val="28"/>
          <w:szCs w:val="28"/>
        </w:rPr>
        <w:t xml:space="preserve"> </w:t>
      </w:r>
      <w:r w:rsidR="005160BC" w:rsidRPr="00F97809">
        <w:rPr>
          <w:rFonts w:cstheme="minorHAnsi"/>
          <w:b/>
          <w:bCs/>
          <w:sz w:val="28"/>
          <w:szCs w:val="28"/>
        </w:rPr>
        <w:t xml:space="preserve">Rosé </w:t>
      </w:r>
      <w:r w:rsidR="00A70AEC" w:rsidRPr="00F97809">
        <w:rPr>
          <w:rFonts w:cstheme="minorHAnsi"/>
          <w:b/>
          <w:bCs/>
          <w:sz w:val="28"/>
          <w:szCs w:val="28"/>
        </w:rPr>
        <w:t>‚Amelia‘</w:t>
      </w:r>
    </w:p>
    <w:p w14:paraId="4520B035" w14:textId="77777777" w:rsidR="00415130" w:rsidRPr="00F97809" w:rsidRDefault="00415130" w:rsidP="00905B2A">
      <w:pPr>
        <w:jc w:val="center"/>
        <w:rPr>
          <w:rFonts w:cstheme="minorHAnsi"/>
          <w:sz w:val="28"/>
          <w:szCs w:val="28"/>
        </w:rPr>
      </w:pPr>
    </w:p>
    <w:tbl>
      <w:tblPr>
        <w:tblStyle w:val="PlainTable2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91"/>
        <w:gridCol w:w="6755"/>
      </w:tblGrid>
      <w:tr w:rsidR="007E37FE" w:rsidRPr="00F97809" w14:paraId="69E4E2A6" w14:textId="77777777" w:rsidTr="009471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209F3EE5" w14:textId="76B98E0E" w:rsidR="007E37FE" w:rsidRPr="00F97809" w:rsidRDefault="00173813" w:rsidP="001D105B">
            <w:pPr>
              <w:rPr>
                <w:rFonts w:cstheme="minorHAnsi"/>
                <w:sz w:val="28"/>
              </w:rPr>
            </w:pPr>
            <w:proofErr w:type="spellStart"/>
            <w:r w:rsidRPr="00F97809">
              <w:rPr>
                <w:rFonts w:cstheme="minorHAnsi"/>
                <w:sz w:val="28"/>
              </w:rPr>
              <w:t>Varietal</w:t>
            </w:r>
            <w:proofErr w:type="spellEnd"/>
          </w:p>
        </w:tc>
        <w:tc>
          <w:tcPr>
            <w:tcW w:w="6755" w:type="dxa"/>
          </w:tcPr>
          <w:p w14:paraId="183CA725" w14:textId="3F824610" w:rsidR="007E37FE" w:rsidRPr="00F97809" w:rsidRDefault="005160BC" w:rsidP="001D10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</w:rPr>
            </w:pPr>
            <w:r w:rsidRPr="00F97809">
              <w:rPr>
                <w:rFonts w:cstheme="minorHAnsi"/>
                <w:b w:val="0"/>
                <w:sz w:val="28"/>
              </w:rPr>
              <w:t>Spätburgunder</w:t>
            </w:r>
            <w:r w:rsidR="00EE500B" w:rsidRPr="00F97809">
              <w:rPr>
                <w:rFonts w:cstheme="minorHAnsi"/>
                <w:b w:val="0"/>
                <w:sz w:val="28"/>
              </w:rPr>
              <w:t xml:space="preserve"> (Pinot Noir)</w:t>
            </w:r>
          </w:p>
        </w:tc>
      </w:tr>
      <w:tr w:rsidR="007E37FE" w:rsidRPr="00F97809" w14:paraId="29770137" w14:textId="77777777" w:rsidTr="00947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664339C2" w14:textId="50090DCD" w:rsidR="007E37FE" w:rsidRPr="00F97809" w:rsidRDefault="00173813" w:rsidP="001D105B">
            <w:pPr>
              <w:rPr>
                <w:rFonts w:cstheme="minorHAnsi"/>
                <w:sz w:val="28"/>
              </w:rPr>
            </w:pPr>
            <w:r w:rsidRPr="00F97809">
              <w:rPr>
                <w:rFonts w:cstheme="minorHAnsi"/>
                <w:sz w:val="28"/>
              </w:rPr>
              <w:t>Style</w:t>
            </w:r>
          </w:p>
        </w:tc>
        <w:tc>
          <w:tcPr>
            <w:tcW w:w="6755" w:type="dxa"/>
          </w:tcPr>
          <w:p w14:paraId="3C0BBDA4" w14:textId="62BE9252" w:rsidR="007E37FE" w:rsidRPr="00F97809" w:rsidRDefault="00291EBC" w:rsidP="001D10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F97809">
              <w:rPr>
                <w:rFonts w:cstheme="minorHAnsi"/>
                <w:sz w:val="28"/>
              </w:rPr>
              <w:t>Dry</w:t>
            </w:r>
          </w:p>
        </w:tc>
      </w:tr>
      <w:tr w:rsidR="007E37FE" w:rsidRPr="00F97809" w14:paraId="5451BCFC" w14:textId="77777777" w:rsidTr="009471D6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1BA493A1" w14:textId="77B2C720" w:rsidR="007E37FE" w:rsidRPr="00F97809" w:rsidRDefault="00173813" w:rsidP="001D105B">
            <w:pPr>
              <w:rPr>
                <w:rFonts w:cstheme="minorHAnsi"/>
                <w:sz w:val="28"/>
              </w:rPr>
            </w:pPr>
            <w:r w:rsidRPr="00F97809">
              <w:rPr>
                <w:rFonts w:cstheme="minorHAnsi"/>
                <w:sz w:val="28"/>
              </w:rPr>
              <w:t>Wine Region</w:t>
            </w:r>
          </w:p>
        </w:tc>
        <w:tc>
          <w:tcPr>
            <w:tcW w:w="6755" w:type="dxa"/>
          </w:tcPr>
          <w:p w14:paraId="13C0538B" w14:textId="19C97863" w:rsidR="007E37FE" w:rsidRPr="00F97809" w:rsidRDefault="007E37FE" w:rsidP="001D1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F97809">
              <w:rPr>
                <w:rFonts w:cstheme="minorHAnsi"/>
                <w:sz w:val="28"/>
              </w:rPr>
              <w:t xml:space="preserve">Mosel / </w:t>
            </w:r>
            <w:r w:rsidR="00173813" w:rsidRPr="00F97809">
              <w:rPr>
                <w:rFonts w:cstheme="minorHAnsi"/>
                <w:sz w:val="28"/>
              </w:rPr>
              <w:t>Germany</w:t>
            </w:r>
          </w:p>
        </w:tc>
      </w:tr>
      <w:tr w:rsidR="007E37FE" w:rsidRPr="00F97809" w14:paraId="017CCB73" w14:textId="77777777" w:rsidTr="00947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5F87A8FC" w14:textId="444F6327" w:rsidR="007E37FE" w:rsidRPr="00F97809" w:rsidRDefault="00173813" w:rsidP="001D105B">
            <w:pPr>
              <w:rPr>
                <w:rFonts w:cstheme="minorHAnsi"/>
                <w:sz w:val="28"/>
              </w:rPr>
            </w:pPr>
            <w:proofErr w:type="spellStart"/>
            <w:r w:rsidRPr="00F97809">
              <w:rPr>
                <w:rFonts w:cstheme="minorHAnsi"/>
                <w:sz w:val="28"/>
              </w:rPr>
              <w:t>Alcohol</w:t>
            </w:r>
            <w:proofErr w:type="spellEnd"/>
            <w:r w:rsidRPr="00F97809">
              <w:rPr>
                <w:rFonts w:cstheme="minorHAnsi"/>
                <w:sz w:val="28"/>
              </w:rPr>
              <w:t xml:space="preserve"> </w:t>
            </w:r>
            <w:proofErr w:type="spellStart"/>
            <w:r w:rsidRPr="00F97809">
              <w:rPr>
                <w:rFonts w:cstheme="minorHAnsi"/>
                <w:sz w:val="28"/>
              </w:rPr>
              <w:t>Percentage</w:t>
            </w:r>
            <w:proofErr w:type="spellEnd"/>
          </w:p>
        </w:tc>
        <w:tc>
          <w:tcPr>
            <w:tcW w:w="6755" w:type="dxa"/>
          </w:tcPr>
          <w:p w14:paraId="726AAD07" w14:textId="4E3F4CB2" w:rsidR="007E37FE" w:rsidRPr="00F97809" w:rsidRDefault="00DA5E4D" w:rsidP="001D10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F97809">
              <w:rPr>
                <w:rFonts w:cstheme="minorHAnsi"/>
                <w:sz w:val="28"/>
              </w:rPr>
              <w:t>1</w:t>
            </w:r>
            <w:r w:rsidR="00EE500B" w:rsidRPr="00F97809">
              <w:rPr>
                <w:rFonts w:cstheme="minorHAnsi"/>
                <w:sz w:val="28"/>
              </w:rPr>
              <w:t>1</w:t>
            </w:r>
            <w:r w:rsidR="00173813" w:rsidRPr="00F97809">
              <w:rPr>
                <w:rFonts w:cstheme="minorHAnsi"/>
                <w:sz w:val="28"/>
              </w:rPr>
              <w:t>.</w:t>
            </w:r>
            <w:r w:rsidR="00EE500B" w:rsidRPr="00F97809">
              <w:rPr>
                <w:rFonts w:cstheme="minorHAnsi"/>
                <w:sz w:val="28"/>
              </w:rPr>
              <w:t>5</w:t>
            </w:r>
            <w:r w:rsidR="004576D2" w:rsidRPr="00F97809">
              <w:rPr>
                <w:rFonts w:cstheme="minorHAnsi"/>
                <w:sz w:val="28"/>
              </w:rPr>
              <w:t xml:space="preserve"> %-Vol.</w:t>
            </w:r>
          </w:p>
        </w:tc>
      </w:tr>
      <w:tr w:rsidR="007E37FE" w:rsidRPr="00F97809" w14:paraId="54B8D8E0" w14:textId="77777777" w:rsidTr="009471D6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024DAA44" w14:textId="6E8B6C70" w:rsidR="007E37FE" w:rsidRPr="00F97809" w:rsidRDefault="00173813" w:rsidP="001D105B">
            <w:pPr>
              <w:rPr>
                <w:rFonts w:cstheme="minorHAnsi"/>
                <w:sz w:val="28"/>
              </w:rPr>
            </w:pPr>
            <w:r w:rsidRPr="00F97809">
              <w:rPr>
                <w:rFonts w:cstheme="minorHAnsi"/>
                <w:sz w:val="28"/>
              </w:rPr>
              <w:t>Residual Sugar</w:t>
            </w:r>
          </w:p>
        </w:tc>
        <w:tc>
          <w:tcPr>
            <w:tcW w:w="6755" w:type="dxa"/>
          </w:tcPr>
          <w:p w14:paraId="7889ACD8" w14:textId="6E6723C5" w:rsidR="007E37FE" w:rsidRPr="00F97809" w:rsidRDefault="00191E2F" w:rsidP="001D1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0,4</w:t>
            </w:r>
            <w:r w:rsidR="007E37FE" w:rsidRPr="00F97809">
              <w:rPr>
                <w:rFonts w:cstheme="minorHAnsi"/>
                <w:sz w:val="28"/>
              </w:rPr>
              <w:t xml:space="preserve"> g/l</w:t>
            </w:r>
          </w:p>
        </w:tc>
      </w:tr>
      <w:tr w:rsidR="007E37FE" w:rsidRPr="00F97809" w14:paraId="17985B9E" w14:textId="77777777" w:rsidTr="00947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4C2A0683" w14:textId="29473904" w:rsidR="007E37FE" w:rsidRPr="00F97809" w:rsidRDefault="00173813" w:rsidP="001D105B">
            <w:pPr>
              <w:rPr>
                <w:rFonts w:cstheme="minorHAnsi"/>
                <w:sz w:val="28"/>
              </w:rPr>
            </w:pPr>
            <w:proofErr w:type="spellStart"/>
            <w:r w:rsidRPr="00F97809">
              <w:rPr>
                <w:rFonts w:cstheme="minorHAnsi"/>
                <w:sz w:val="28"/>
              </w:rPr>
              <w:t>Acidity</w:t>
            </w:r>
            <w:proofErr w:type="spellEnd"/>
          </w:p>
        </w:tc>
        <w:tc>
          <w:tcPr>
            <w:tcW w:w="6755" w:type="dxa"/>
          </w:tcPr>
          <w:p w14:paraId="0348B6C5" w14:textId="3C5EA037" w:rsidR="007E37FE" w:rsidRPr="00F97809" w:rsidRDefault="00AB0DE2" w:rsidP="001D10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F97809">
              <w:rPr>
                <w:rFonts w:cstheme="minorHAnsi"/>
                <w:sz w:val="28"/>
              </w:rPr>
              <w:t>5,0</w:t>
            </w:r>
            <w:r w:rsidR="00B53B8A" w:rsidRPr="00F97809">
              <w:rPr>
                <w:rFonts w:cstheme="minorHAnsi"/>
                <w:sz w:val="28"/>
              </w:rPr>
              <w:t xml:space="preserve"> </w:t>
            </w:r>
            <w:r w:rsidR="007E37FE" w:rsidRPr="00F97809">
              <w:rPr>
                <w:rFonts w:cstheme="minorHAnsi"/>
                <w:sz w:val="28"/>
              </w:rPr>
              <w:t>g/l</w:t>
            </w:r>
          </w:p>
        </w:tc>
      </w:tr>
      <w:tr w:rsidR="007E37FE" w:rsidRPr="00F97809" w14:paraId="03F7882D" w14:textId="77777777" w:rsidTr="009471D6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705D199E" w14:textId="0A13E30F" w:rsidR="007E37FE" w:rsidRPr="00F97809" w:rsidRDefault="00173813" w:rsidP="001D105B">
            <w:pPr>
              <w:rPr>
                <w:rFonts w:cstheme="minorHAnsi"/>
                <w:sz w:val="28"/>
              </w:rPr>
            </w:pPr>
            <w:r w:rsidRPr="00F97809">
              <w:rPr>
                <w:rFonts w:cstheme="minorHAnsi"/>
                <w:sz w:val="28"/>
              </w:rPr>
              <w:t>Fermentation</w:t>
            </w:r>
          </w:p>
        </w:tc>
        <w:tc>
          <w:tcPr>
            <w:tcW w:w="6755" w:type="dxa"/>
          </w:tcPr>
          <w:p w14:paraId="3EACBDBB" w14:textId="41650C1D" w:rsidR="007E37FE" w:rsidRPr="00F97809" w:rsidRDefault="00DA5E4D" w:rsidP="001D1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F97809">
              <w:rPr>
                <w:rFonts w:cstheme="minorHAnsi"/>
                <w:sz w:val="28"/>
              </w:rPr>
              <w:t xml:space="preserve">100% </w:t>
            </w:r>
            <w:r w:rsidR="00173813" w:rsidRPr="00F97809">
              <w:rPr>
                <w:rFonts w:cstheme="minorHAnsi"/>
                <w:sz w:val="28"/>
              </w:rPr>
              <w:t>Stainless Steel</w:t>
            </w:r>
          </w:p>
        </w:tc>
      </w:tr>
      <w:tr w:rsidR="007E37FE" w:rsidRPr="00F97809" w14:paraId="5D4ECED9" w14:textId="77777777" w:rsidTr="00947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38FB47D6" w14:textId="5E106868" w:rsidR="007E37FE" w:rsidRPr="00F97809" w:rsidRDefault="00A96D5E" w:rsidP="001D105B">
            <w:pPr>
              <w:rPr>
                <w:rFonts w:cstheme="minorHAnsi"/>
                <w:sz w:val="28"/>
              </w:rPr>
            </w:pPr>
            <w:r w:rsidRPr="00F97809">
              <w:rPr>
                <w:rFonts w:cstheme="minorHAnsi"/>
                <w:sz w:val="28"/>
              </w:rPr>
              <w:t>Format</w:t>
            </w:r>
          </w:p>
        </w:tc>
        <w:tc>
          <w:tcPr>
            <w:tcW w:w="6755" w:type="dxa"/>
          </w:tcPr>
          <w:p w14:paraId="1AFFAAF9" w14:textId="0DD8A6CB" w:rsidR="007E37FE" w:rsidRPr="00F97809" w:rsidRDefault="00E92B15" w:rsidP="001D10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F97809">
              <w:rPr>
                <w:rFonts w:cstheme="minorHAnsi"/>
                <w:sz w:val="28"/>
              </w:rPr>
              <w:t>750 ml</w:t>
            </w:r>
          </w:p>
        </w:tc>
      </w:tr>
    </w:tbl>
    <w:p w14:paraId="5D3A488D" w14:textId="6BFF5D8B" w:rsidR="009471D6" w:rsidRPr="00F97809" w:rsidRDefault="009471D6" w:rsidP="009471D6">
      <w:pPr>
        <w:tabs>
          <w:tab w:val="left" w:pos="2809"/>
        </w:tabs>
        <w:rPr>
          <w:rFonts w:cstheme="minorHAnsi"/>
        </w:rPr>
      </w:pPr>
    </w:p>
    <w:p w14:paraId="142296BE" w14:textId="77777777" w:rsidR="006A065D" w:rsidRPr="006A065D" w:rsidRDefault="006A065D" w:rsidP="006A065D">
      <w:pPr>
        <w:tabs>
          <w:tab w:val="left" w:pos="2809"/>
        </w:tabs>
        <w:rPr>
          <w:rFonts w:cstheme="minorHAnsi"/>
          <w:sz w:val="28"/>
          <w:szCs w:val="28"/>
          <w:lang w:val="en-US"/>
        </w:rPr>
      </w:pPr>
      <w:r w:rsidRPr="006A065D">
        <w:rPr>
          <w:rFonts w:cstheme="minorHAnsi"/>
          <w:sz w:val="28"/>
          <w:szCs w:val="28"/>
          <w:lang w:val="en-US"/>
        </w:rPr>
        <w:t xml:space="preserve">This is a beautifully fresh </w:t>
      </w:r>
      <w:proofErr w:type="spellStart"/>
      <w:r w:rsidRPr="006A065D">
        <w:rPr>
          <w:rFonts w:cstheme="minorHAnsi"/>
          <w:sz w:val="28"/>
          <w:szCs w:val="28"/>
          <w:lang w:val="en-US"/>
        </w:rPr>
        <w:t>Spätburgunder</w:t>
      </w:r>
      <w:proofErr w:type="spellEnd"/>
      <w:r w:rsidRPr="006A065D">
        <w:rPr>
          <w:rFonts w:cstheme="minorHAnsi"/>
          <w:sz w:val="28"/>
          <w:szCs w:val="28"/>
          <w:lang w:val="en-US"/>
        </w:rPr>
        <w:t xml:space="preserve"> Rosé from the Mosel that’s all about elegance and easy enjoyment.</w:t>
      </w:r>
    </w:p>
    <w:p w14:paraId="57F5BCFF" w14:textId="77777777" w:rsidR="006A065D" w:rsidRPr="006A065D" w:rsidRDefault="006A065D" w:rsidP="006A065D">
      <w:pPr>
        <w:tabs>
          <w:tab w:val="left" w:pos="2809"/>
        </w:tabs>
        <w:rPr>
          <w:rFonts w:cstheme="minorHAnsi"/>
          <w:sz w:val="28"/>
          <w:szCs w:val="28"/>
          <w:lang w:val="en-US"/>
        </w:rPr>
      </w:pPr>
      <w:r w:rsidRPr="006A065D">
        <w:rPr>
          <w:rFonts w:cstheme="minorHAnsi"/>
          <w:sz w:val="28"/>
          <w:szCs w:val="28"/>
          <w:lang w:val="en-US"/>
        </w:rPr>
        <w:t>In the glass, it shows a delicate pale salmon-pink, light and inviting. On the nose, you’ll find fresh strawberries, raspberries, a touch of rose petal, and a hint of citrus zest, with a subtle mineral edge in the background.</w:t>
      </w:r>
    </w:p>
    <w:p w14:paraId="54C21836" w14:textId="77777777" w:rsidR="006A065D" w:rsidRPr="006A065D" w:rsidRDefault="006A065D" w:rsidP="006A065D">
      <w:pPr>
        <w:tabs>
          <w:tab w:val="left" w:pos="2809"/>
        </w:tabs>
        <w:rPr>
          <w:rFonts w:cstheme="minorHAnsi"/>
          <w:sz w:val="28"/>
          <w:szCs w:val="28"/>
          <w:lang w:val="en-US"/>
        </w:rPr>
      </w:pPr>
      <w:r w:rsidRPr="006A065D">
        <w:rPr>
          <w:rFonts w:cstheme="minorHAnsi"/>
          <w:sz w:val="28"/>
          <w:szCs w:val="28"/>
          <w:lang w:val="en-US"/>
        </w:rPr>
        <w:t>On the palate, it’s crisp, dry, and refreshing. With very low residual sugar (just 0.4 g/l) and lively acidity, the wine feels clean and precise, showing red berry fruit, pink grapefruit, and a gentle herbal note. At just 11.5% alcohol, it’s light on its feet and incredibly drinkable. The finish is clean and mouthwatering, with a soft mineral touch that invites another sip.</w:t>
      </w:r>
    </w:p>
    <w:p w14:paraId="4D6341C3" w14:textId="77777777" w:rsidR="006A065D" w:rsidRPr="006A065D" w:rsidRDefault="006A065D" w:rsidP="006A065D">
      <w:pPr>
        <w:tabs>
          <w:tab w:val="left" w:pos="2809"/>
        </w:tabs>
        <w:rPr>
          <w:rFonts w:cstheme="minorHAnsi"/>
          <w:sz w:val="28"/>
          <w:szCs w:val="28"/>
          <w:lang w:val="en-US"/>
        </w:rPr>
      </w:pPr>
      <w:r w:rsidRPr="006A065D">
        <w:rPr>
          <w:rFonts w:cstheme="minorHAnsi"/>
          <w:sz w:val="28"/>
          <w:szCs w:val="28"/>
          <w:lang w:val="en-US"/>
        </w:rPr>
        <w:t xml:space="preserve">Food-wise, this rosé is a natural all-rounder. It </w:t>
      </w:r>
      <w:proofErr w:type="gramStart"/>
      <w:r w:rsidRPr="006A065D">
        <w:rPr>
          <w:rFonts w:cstheme="minorHAnsi"/>
          <w:sz w:val="28"/>
          <w:szCs w:val="28"/>
          <w:lang w:val="en-US"/>
        </w:rPr>
        <w:t>pairs beautifully</w:t>
      </w:r>
      <w:proofErr w:type="gramEnd"/>
      <w:r w:rsidRPr="006A065D">
        <w:rPr>
          <w:rFonts w:cstheme="minorHAnsi"/>
          <w:sz w:val="28"/>
          <w:szCs w:val="28"/>
          <w:lang w:val="en-US"/>
        </w:rPr>
        <w:t xml:space="preserve"> with seafood, grilled fish, light poultry, summer salads, roasted vegetables, or fresh goat cheese — and it’s just as enjoyable on its own as an aperitif.</w:t>
      </w:r>
    </w:p>
    <w:p w14:paraId="646CF294" w14:textId="0C9B093A" w:rsidR="00291EBC" w:rsidRPr="00F97809" w:rsidRDefault="006A065D" w:rsidP="006A065D">
      <w:pPr>
        <w:tabs>
          <w:tab w:val="left" w:pos="2809"/>
        </w:tabs>
        <w:rPr>
          <w:rFonts w:cstheme="minorHAnsi"/>
          <w:sz w:val="28"/>
          <w:szCs w:val="28"/>
          <w:lang w:val="en-US"/>
        </w:rPr>
      </w:pPr>
      <w:r w:rsidRPr="006A065D">
        <w:rPr>
          <w:rFonts w:cstheme="minorHAnsi"/>
          <w:sz w:val="28"/>
          <w:szCs w:val="28"/>
          <w:lang w:val="en-US"/>
        </w:rPr>
        <w:t>Fun fact:</w:t>
      </w:r>
      <w:r>
        <w:rPr>
          <w:rFonts w:cstheme="minorHAnsi"/>
          <w:sz w:val="28"/>
          <w:szCs w:val="28"/>
          <w:lang w:val="en-US"/>
        </w:rPr>
        <w:t xml:space="preserve"> The name of the wine comes from the winemaker’s granddaughter</w:t>
      </w:r>
      <w:r w:rsidR="0062354F" w:rsidRPr="00F97809">
        <w:rPr>
          <w:rFonts w:cstheme="minorHAnsi"/>
          <w:sz w:val="28"/>
          <w:szCs w:val="28"/>
          <w:lang w:val="en-US"/>
        </w:rPr>
        <w:t>.</w:t>
      </w:r>
      <w:r>
        <w:rPr>
          <w:rFonts w:cstheme="minorHAnsi"/>
          <w:sz w:val="28"/>
          <w:szCs w:val="28"/>
          <w:lang w:val="en-US"/>
        </w:rPr>
        <w:t xml:space="preserve"> While helping with the Pinot Noir harvest at age 6, she noticed the fresh grape juice was pink in color and immediately said “this is </w:t>
      </w:r>
      <w:r w:rsidRPr="006A065D">
        <w:rPr>
          <w:rFonts w:cstheme="minorHAnsi"/>
          <w:i/>
          <w:iCs/>
          <w:sz w:val="28"/>
          <w:szCs w:val="28"/>
          <w:lang w:val="en-US"/>
        </w:rPr>
        <w:t>my</w:t>
      </w:r>
      <w:r>
        <w:rPr>
          <w:rFonts w:cstheme="minorHAnsi"/>
          <w:sz w:val="28"/>
          <w:szCs w:val="28"/>
          <w:lang w:val="en-US"/>
        </w:rPr>
        <w:t xml:space="preserve"> wine!”  The name stuck, and the rest is history.</w:t>
      </w:r>
      <w:r w:rsidR="0062354F" w:rsidRPr="00F97809">
        <w:rPr>
          <w:rFonts w:cstheme="minorHAnsi"/>
          <w:sz w:val="28"/>
          <w:szCs w:val="28"/>
          <w:lang w:val="en-US"/>
        </w:rPr>
        <w:t xml:space="preserve">   </w:t>
      </w:r>
    </w:p>
    <w:sectPr w:rsidR="00291EBC" w:rsidRPr="00F97809" w:rsidSect="00550D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44EBF" w14:textId="77777777" w:rsidR="00E105CE" w:rsidRDefault="00E105CE" w:rsidP="001D5BE2">
      <w:pPr>
        <w:spacing w:after="0" w:line="240" w:lineRule="auto"/>
      </w:pPr>
      <w:r>
        <w:separator/>
      </w:r>
    </w:p>
  </w:endnote>
  <w:endnote w:type="continuationSeparator" w:id="0">
    <w:p w14:paraId="6421B9D2" w14:textId="77777777" w:rsidR="00E105CE" w:rsidRDefault="00E105CE" w:rsidP="001D5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67CF" w14:textId="77777777" w:rsidR="00335E23" w:rsidRDefault="00335E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65D9B" w14:textId="77777777" w:rsidR="009471D6" w:rsidRDefault="00393E4C" w:rsidP="009471D6">
    <w:pPr>
      <w:pStyle w:val="Footer"/>
      <w:jc w:val="center"/>
    </w:pPr>
    <w:r w:rsidRPr="00393E4C">
      <w:t>Weingut Gindorf (Inh. Pamela und John Pfeiffer GbR)</w:t>
    </w:r>
  </w:p>
  <w:p w14:paraId="6E7A0065" w14:textId="77777777" w:rsidR="009471D6" w:rsidRDefault="00393E4C" w:rsidP="009471D6">
    <w:pPr>
      <w:pStyle w:val="Footer"/>
      <w:jc w:val="center"/>
    </w:pPr>
    <w:r w:rsidRPr="00393E4C">
      <w:t>Beethovenstraße 15</w:t>
    </w:r>
    <w:r w:rsidR="009471D6">
      <w:t xml:space="preserve"> | </w:t>
    </w:r>
    <w:r w:rsidRPr="00393E4C">
      <w:t>D54470 Lieser/Mosel</w:t>
    </w:r>
  </w:p>
  <w:p w14:paraId="646FFD55" w14:textId="14A93299" w:rsidR="00DB1394" w:rsidRPr="00393E4C" w:rsidRDefault="00335E23" w:rsidP="009471D6">
    <w:pPr>
      <w:pStyle w:val="Footer"/>
      <w:jc w:val="center"/>
    </w:pPr>
    <w:r>
      <w:t>Phone</w:t>
    </w:r>
    <w:r w:rsidR="00393E4C" w:rsidRPr="00393E4C">
      <w:t>: +49 6531 3772</w:t>
    </w:r>
    <w:r w:rsidR="009471D6">
      <w:t xml:space="preserve"> | </w:t>
    </w:r>
    <w:r w:rsidR="00393E4C" w:rsidRPr="00393E4C">
      <w:t>www.weingut-gindorf.de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6FCCF" w14:textId="77777777" w:rsidR="00335E23" w:rsidRDefault="00335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83263" w14:textId="77777777" w:rsidR="00E105CE" w:rsidRDefault="00E105CE" w:rsidP="001D5BE2">
      <w:pPr>
        <w:spacing w:after="0" w:line="240" w:lineRule="auto"/>
      </w:pPr>
      <w:r>
        <w:separator/>
      </w:r>
    </w:p>
  </w:footnote>
  <w:footnote w:type="continuationSeparator" w:id="0">
    <w:p w14:paraId="5CE9B121" w14:textId="77777777" w:rsidR="00E105CE" w:rsidRDefault="00E105CE" w:rsidP="001D5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3C8F" w14:textId="77777777" w:rsidR="00335E23" w:rsidRDefault="00335E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D3940" w14:textId="766E3BBC" w:rsidR="001D5BE2" w:rsidRDefault="00300E9C" w:rsidP="001D5BE2">
    <w:pPr>
      <w:pStyle w:val="Header"/>
      <w:jc w:val="center"/>
    </w:pPr>
    <w:r>
      <w:rPr>
        <w:noProof/>
      </w:rPr>
      <w:drawing>
        <wp:inline distT="0" distB="0" distL="0" distR="0" wp14:anchorId="44F35FE2" wp14:editId="7DF6A28A">
          <wp:extent cx="3481070" cy="126174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1070" cy="1261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517F" w14:textId="77777777" w:rsidR="00335E23" w:rsidRDefault="00335E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E2"/>
    <w:rsid w:val="00005A24"/>
    <w:rsid w:val="00006168"/>
    <w:rsid w:val="0003702B"/>
    <w:rsid w:val="0005605B"/>
    <w:rsid w:val="00067C32"/>
    <w:rsid w:val="0007663F"/>
    <w:rsid w:val="000D47FD"/>
    <w:rsid w:val="000F2C83"/>
    <w:rsid w:val="00110EAB"/>
    <w:rsid w:val="001372FA"/>
    <w:rsid w:val="00144D7B"/>
    <w:rsid w:val="00161348"/>
    <w:rsid w:val="00173813"/>
    <w:rsid w:val="00191E2F"/>
    <w:rsid w:val="001B1920"/>
    <w:rsid w:val="001D105B"/>
    <w:rsid w:val="001D5BE2"/>
    <w:rsid w:val="0022544C"/>
    <w:rsid w:val="00272022"/>
    <w:rsid w:val="00291EBC"/>
    <w:rsid w:val="00300E9C"/>
    <w:rsid w:val="00335E23"/>
    <w:rsid w:val="00350318"/>
    <w:rsid w:val="00363393"/>
    <w:rsid w:val="00366CA7"/>
    <w:rsid w:val="00381294"/>
    <w:rsid w:val="00393E4C"/>
    <w:rsid w:val="003D72ED"/>
    <w:rsid w:val="003F2A17"/>
    <w:rsid w:val="00415130"/>
    <w:rsid w:val="00415604"/>
    <w:rsid w:val="00417B60"/>
    <w:rsid w:val="004343DB"/>
    <w:rsid w:val="004576D2"/>
    <w:rsid w:val="00464706"/>
    <w:rsid w:val="004C3AEF"/>
    <w:rsid w:val="004D269C"/>
    <w:rsid w:val="0051519F"/>
    <w:rsid w:val="00515F06"/>
    <w:rsid w:val="005160BC"/>
    <w:rsid w:val="00516549"/>
    <w:rsid w:val="00537A15"/>
    <w:rsid w:val="00550D4D"/>
    <w:rsid w:val="00563734"/>
    <w:rsid w:val="00564462"/>
    <w:rsid w:val="00570A23"/>
    <w:rsid w:val="005C6138"/>
    <w:rsid w:val="005E158B"/>
    <w:rsid w:val="005E70EA"/>
    <w:rsid w:val="006007D8"/>
    <w:rsid w:val="00604011"/>
    <w:rsid w:val="0062354F"/>
    <w:rsid w:val="00681C7E"/>
    <w:rsid w:val="006A065D"/>
    <w:rsid w:val="006B0986"/>
    <w:rsid w:val="006B1F43"/>
    <w:rsid w:val="006D2C05"/>
    <w:rsid w:val="006F763C"/>
    <w:rsid w:val="00702AC4"/>
    <w:rsid w:val="00784283"/>
    <w:rsid w:val="007E23E7"/>
    <w:rsid w:val="007E37FE"/>
    <w:rsid w:val="00814D32"/>
    <w:rsid w:val="0081541D"/>
    <w:rsid w:val="00821457"/>
    <w:rsid w:val="00821CB3"/>
    <w:rsid w:val="00845837"/>
    <w:rsid w:val="008465B8"/>
    <w:rsid w:val="00850F76"/>
    <w:rsid w:val="00861DCC"/>
    <w:rsid w:val="00865A11"/>
    <w:rsid w:val="00881DA2"/>
    <w:rsid w:val="008A5A27"/>
    <w:rsid w:val="008B03EA"/>
    <w:rsid w:val="00905B2A"/>
    <w:rsid w:val="009471D6"/>
    <w:rsid w:val="00976CD4"/>
    <w:rsid w:val="009A7889"/>
    <w:rsid w:val="009E6100"/>
    <w:rsid w:val="00A13575"/>
    <w:rsid w:val="00A14D23"/>
    <w:rsid w:val="00A33C69"/>
    <w:rsid w:val="00A665BE"/>
    <w:rsid w:val="00A70AEC"/>
    <w:rsid w:val="00A72063"/>
    <w:rsid w:val="00A96D5E"/>
    <w:rsid w:val="00AB0DE2"/>
    <w:rsid w:val="00AE091F"/>
    <w:rsid w:val="00B23EA5"/>
    <w:rsid w:val="00B53B8A"/>
    <w:rsid w:val="00BB085F"/>
    <w:rsid w:val="00BB7ABE"/>
    <w:rsid w:val="00C72024"/>
    <w:rsid w:val="00CA6521"/>
    <w:rsid w:val="00CC0965"/>
    <w:rsid w:val="00CC6B66"/>
    <w:rsid w:val="00CE2DD1"/>
    <w:rsid w:val="00D40DFB"/>
    <w:rsid w:val="00D41225"/>
    <w:rsid w:val="00D5363C"/>
    <w:rsid w:val="00D54730"/>
    <w:rsid w:val="00D61F62"/>
    <w:rsid w:val="00D67369"/>
    <w:rsid w:val="00D701E9"/>
    <w:rsid w:val="00DA5E4D"/>
    <w:rsid w:val="00DB1394"/>
    <w:rsid w:val="00DD39E9"/>
    <w:rsid w:val="00DE3832"/>
    <w:rsid w:val="00E02950"/>
    <w:rsid w:val="00E105CE"/>
    <w:rsid w:val="00E54E05"/>
    <w:rsid w:val="00E83D8D"/>
    <w:rsid w:val="00E91F5B"/>
    <w:rsid w:val="00E92B15"/>
    <w:rsid w:val="00EE500B"/>
    <w:rsid w:val="00EE5F45"/>
    <w:rsid w:val="00EE7B63"/>
    <w:rsid w:val="00F13E45"/>
    <w:rsid w:val="00F37532"/>
    <w:rsid w:val="00F45907"/>
    <w:rsid w:val="00F62160"/>
    <w:rsid w:val="00F97809"/>
    <w:rsid w:val="00FA3290"/>
    <w:rsid w:val="00FD0FFE"/>
    <w:rsid w:val="00FE6306"/>
    <w:rsid w:val="00FF2DD9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64E92"/>
  <w15:chartTrackingRefBased/>
  <w15:docId w15:val="{D8264864-FC27-4514-A6BF-F2B29C58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BE2"/>
  </w:style>
  <w:style w:type="paragraph" w:styleId="Footer">
    <w:name w:val="footer"/>
    <w:basedOn w:val="Normal"/>
    <w:link w:val="FooterChar"/>
    <w:uiPriority w:val="99"/>
    <w:unhideWhenUsed/>
    <w:rsid w:val="001D5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BE2"/>
  </w:style>
  <w:style w:type="table" w:styleId="TableGrid">
    <w:name w:val="Table Grid"/>
    <w:basedOn w:val="TableNormal"/>
    <w:uiPriority w:val="39"/>
    <w:rsid w:val="001D5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067C3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23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E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5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6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5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4729">
              <w:marLeft w:val="240"/>
              <w:marRight w:val="12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9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BBAAB41F7DB4990A25F32E3CCF4BC" ma:contentTypeVersion="11" ma:contentTypeDescription="Create a new document." ma:contentTypeScope="" ma:versionID="6c9ac2e8d303c7ef8e90b69bfa2e86e5">
  <xsd:schema xmlns:xsd="http://www.w3.org/2001/XMLSchema" xmlns:xs="http://www.w3.org/2001/XMLSchema" xmlns:p="http://schemas.microsoft.com/office/2006/metadata/properties" xmlns:ns3="724c9e5a-6ca8-4467-adf3-81aa22c7ba87" xmlns:ns4="7181b038-f09f-47e3-9272-a310b44006dc" targetNamespace="http://schemas.microsoft.com/office/2006/metadata/properties" ma:root="true" ma:fieldsID="51ae4ffa05cc32955d1adb4732c659f6" ns3:_="" ns4:_="">
    <xsd:import namespace="724c9e5a-6ca8-4467-adf3-81aa22c7ba87"/>
    <xsd:import namespace="7181b038-f09f-47e3-9272-a310b44006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c9e5a-6ca8-4467-adf3-81aa22c7ba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1b038-f09f-47e3-9272-a310b4400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73DC43-B3EA-4199-8BBA-A519F2F5F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c9e5a-6ca8-4467-adf3-81aa22c7ba87"/>
    <ds:schemaRef ds:uri="7181b038-f09f-47e3-9272-a310b4400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03C050-8402-4179-A319-7D2241C58B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7245DB-CFAC-43D0-8D9F-8F5ACB3BEA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ED148F-32AB-484A-8CA8-ADEA392868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Pfeiffer</dc:creator>
  <cp:keywords/>
  <dc:description/>
  <cp:lastModifiedBy>Pfeiffer, John</cp:lastModifiedBy>
  <cp:revision>2</cp:revision>
  <cp:lastPrinted>2019-04-13T17:53:00Z</cp:lastPrinted>
  <dcterms:created xsi:type="dcterms:W3CDTF">2026-02-10T16:45:00Z</dcterms:created>
  <dcterms:modified xsi:type="dcterms:W3CDTF">2026-02-10T16:45:00Z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0x01010017FBBAAB41F7DB4990A25F32E3CCF4BC</vt:lpwstr>
  </property>
  <property fmtid="{D5CDD505-2E9C-101B-9397-08002B2CF9AE}" pid="3" name="MSIP_Label_38f1469a-2c2a-4aee-b92b-090d4c5468ff_Enabled">
    <vt:lpwstr>true</vt:lpwstr>
  </property>
  <property fmtid="{D5CDD505-2E9C-101B-9397-08002B2CF9AE}" pid="4" name="MSIP_Label_38f1469a-2c2a-4aee-b92b-090d4c5468ff_SetDate">
    <vt:lpwstr>2026-02-10T16:45:35Z</vt:lpwstr>
  </property>
  <property fmtid="{D5CDD505-2E9C-101B-9397-08002B2CF9AE}" pid="5" name="MSIP_Label_38f1469a-2c2a-4aee-b92b-090d4c5468ff_Method">
    <vt:lpwstr>Standard</vt:lpwstr>
  </property>
  <property fmtid="{D5CDD505-2E9C-101B-9397-08002B2CF9AE}" pid="6" name="MSIP_Label_38f1469a-2c2a-4aee-b92b-090d4c5468ff_Name">
    <vt:lpwstr>Confidential - Unmarked</vt:lpwstr>
  </property>
  <property fmtid="{D5CDD505-2E9C-101B-9397-08002B2CF9AE}" pid="7" name="MSIP_Label_38f1469a-2c2a-4aee-b92b-090d4c5468ff_SiteId">
    <vt:lpwstr>2a6e6092-73e4-4752-b1a5-477a17f5056d</vt:lpwstr>
  </property>
  <property fmtid="{D5CDD505-2E9C-101B-9397-08002B2CF9AE}" pid="8" name="MSIP_Label_38f1469a-2c2a-4aee-b92b-090d4c5468ff_ActionId">
    <vt:lpwstr>88d85d65-8522-4fbe-803d-d15b638424fa</vt:lpwstr>
  </property>
  <property fmtid="{D5CDD505-2E9C-101B-9397-08002B2CF9AE}" pid="9" name="MSIP_Label_38f1469a-2c2a-4aee-b92b-090d4c5468ff_ContentBits">
    <vt:lpwstr>0</vt:lpwstr>
  </property>
  <property fmtid="{D5CDD505-2E9C-101B-9397-08002B2CF9AE}" pid="10" name="MSIP_Label_38f1469a-2c2a-4aee-b92b-090d4c5468ff_Tag">
    <vt:lpwstr>10, 3, 0, 1</vt:lpwstr>
  </property>
</Properties>
</file>